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Meher Mathur</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Mr.Speice</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Independent Study and Mentorship</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10/31/16</w: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sz w:val="24"/>
          <w:szCs w:val="24"/>
          <w:rtl w:val="0"/>
        </w:rPr>
        <w:t xml:space="preserve">The Building of the Building Blocks</w: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sz w:val="24"/>
          <w:szCs w:val="24"/>
          <w:rtl w:val="0"/>
        </w:rPr>
        <w:t xml:space="preserve">Week of 10/24-10/30</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The last week of October marks the week of my second informational interview with a nurse practitioner. Our ISM project consists of many aspects regarding content and presentation. The color scheme and overall theme of my project was decided this week and marked progress along my project. Being able to represent a particular study topic through content and presentation is a work of art.</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 A point of success this week would be my second informational interview. I was able to meet with a nurse practitioner that believed in household remedies along with allopathic treatments. My ISM project is geared towards holistic medication and how that type of medicine should be integrated with medications prescribed by the American Board certified pediatricians. This interview helped me realize the type of professionals I need to interview as well introduced me to a new branch of medication. Holistic doctors are known to prescribe homeopathic and naturopathic medications that can be taken in parallel with allopathic medications. My past interview searches were dependent on pediatric immunologist and/or professionals skilled in natural care. Holistic medication clinics will hold the type of medication that need complete and total natural care. This interview opened up different doors for professional interview and mentor seeking candidates.</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In parallel to the interview, a challenge for this week revolved around the research of my project. Research takes many steps and requires deductive reasoning. The vast internet provides us with information at the tips of our fingers. A lot of that information has proven to be inaccurate and destroyed potential medical papers and journal entries. The topic regarding to holistic medication and practice has not been openly expressed in the American society, therefore leaving the internet with unreliable information. A lot of the natural medicine that can be used for this project has been proven to cure common diseases within days. The sources given on biochemical medication as well as homeopathic treatments are very broad and generic. Due to the certifications of every American doctor, holistic medication has been supported on a more personal level with personal interests. Being able to stand with medication that hasn’t been openly supported by all doctors can create inaccurate results and eventually lead to the death of a patient. To overcome this challenge, the use of prior knowledge and experience will be helpful. Also, the use of professionals in this area without an interview can give our project a source of credibility. There are many doctors out in this world that can treat symptoms and help cure the symptoms, but can they strengthen the overall body systems and conquer the disease? This is what holistic medication can do and will do when needed by any American Patient.</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All in all, the stage of deciding a final plan are coming soon. The ISM showcase will take place soon as all of our research will be presented to professionals in local businesses as well as domestic businesses. Next week will bring more in-depth search of holistic doctors and nurse practitioners.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