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Meher Mathur</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Mr.Speice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Independent Study or Mentorship</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5 December 2016</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ab/>
        <w:tab/>
        <w:tab/>
        <w:t xml:space="preserve">    Thankful for A Place to Start</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11/21-12/4</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With the Research Showcase around the corner, my mentor search and original work plan has been a work in progress. I decided on and planned out the basis of my original work which revolves around naturopathic medications and the alternative medicine approach. To help with aspects related to presentations and the way we present ourselves to the audience for the research showcase, I was asked to give five to seven  minute research speech that covered my ideas for the continuation of my research as well as my scope for original work. Both presentation and content are required to be at outstanding levels in order to achieve my short term goal of being successful at the research showcase.</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These past two weeks has really helped me decide and stand firm on a topic for my ISM final presentation. Through extensive research on naturopathy and homeopathy, I have scheduled all 5 of my interviews for this year by meeting with holistic doctors and nurse practitioners. With the information that I gathered at my two previous interviews as well as the continuous research on allergy symptoms and alternative treatments, I was able to put together a speech in which I explained my blueprint for this year. Being able to stand in front of my class and present the idea seemed a little bit out of my comfort zone. Fortunately, I was able to engage the audience as well as leave them with questions about my presentation that they genuinely wanted to know. In my presentation, I tied every element of my research to my proposed original work which I was able to come up with this week. The original work are the ideas leading to the final presentation, which requires extensive mentor work and support. With all the preparations leading to the research showcase, we were also told to create formal invitations to send to people we would like to invite. The continued research, the start of the original work and the small preparations are all yielding to a persuasive and informative research showcase for my first ISM experience.</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This next week we turn in our speech evaluations and build upon our speaking skills as well as finalize our invitations to send out to family members and friends. The journey has just started.</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