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Meher Mathur</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Mr.Speice</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Independent Study and Mentorship</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30th January, 2017</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rtl w:val="0"/>
        </w:rPr>
        <w:t xml:space="preserve">Cruising Along  the Path to Victory</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With nothing as special and exciting, this past week in ISM was another work week. Next week I will present my original work speech to my whole class.  Many such work weeks are necessary as mentor visits are going to be part of my week. Original work and the original work assessment was apart of the turn in assignments for this week. While final presentation night is 4-5 months away, the final product proposal will be an upcoming milestone.</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This week, I was able to finalize and  fully draft the ideas for my original work proposal. Being able to stem off a final product, my original product was a challenge to create as it had to “set the ground” for the my outcome. My original product dealt with the promotion of alternative medicine through legal means. Although this seems simple, being able to attract big insurance companies to sell alternative medicine here in America is something that poses as a major challenge. Being able to sell my idea and place it in the realm of medical marketing is one of the main challenge for my original work. I sent in the proposal to the state medicaid director after my mentor revised it. With logical and emotional means, I was able to create a persuasive proposal which held graphs, statistics and personal experiences.  This was a great challenge to take on because it had to link statistics to the general idea of promotion in America. Being able to sell my product in the medical world of America is one of the biggest challenges as many restriction comes into play. With this being in mind, I present my original work to my peers next week regarding feedback and general progress.</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For next week, I plan on creating an informative and persuasive speech to present to my peers. Being able to connect to my audience and sell them m point regarding an idea that is not openly practiced here in America can stand as a barrier. I plan on gaining as much feedback as I can and build my final product off of the ideas. I hope to enhance my speaking skills and present a presentation that will be informative and creative!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